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cs="Arial"/>
          <w:i w:val="0"/>
          <w:caps w:val="0"/>
          <w:color w:val="000000"/>
          <w:spacing w:val="0"/>
          <w:sz w:val="21"/>
          <w:szCs w:val="21"/>
        </w:rPr>
      </w:pPr>
      <w:r>
        <w:rPr>
          <w:rFonts w:hint="eastAsia" w:ascii="华文中宋" w:hAnsi="华文中宋" w:eastAsia="华文中宋" w:cs="华文中宋"/>
          <w:b/>
          <w:i w:val="0"/>
          <w:caps w:val="0"/>
          <w:color w:val="333333"/>
          <w:spacing w:val="0"/>
          <w:kern w:val="0"/>
          <w:sz w:val="32"/>
          <w:szCs w:val="32"/>
          <w:lang w:val="en-US" w:eastAsia="zh-CN" w:bidi="ar"/>
        </w:rPr>
        <w:t>中华人民共和国招标投标法实施条例</w:t>
      </w:r>
    </w:p>
    <w:p>
      <w:pPr>
        <w:keepNext w:val="0"/>
        <w:keepLines w:val="0"/>
        <w:widowControl/>
        <w:suppressLineNumbers w:val="0"/>
        <w:ind w:left="0" w:firstLine="0"/>
        <w:jc w:val="center"/>
        <w:rPr>
          <w:rFonts w:hint="eastAsia" w:ascii="Arial" w:hAnsi="Arial" w:eastAsia="宋体" w:cs="Arial"/>
          <w:b/>
          <w:i w:val="0"/>
          <w:caps w:val="0"/>
          <w:color w:val="333333"/>
          <w:spacing w:val="0"/>
          <w:kern w:val="0"/>
          <w:sz w:val="28"/>
          <w:szCs w:val="28"/>
          <w:lang w:val="en-US" w:eastAsia="zh-CN" w:bidi="ar"/>
        </w:rPr>
      </w:pPr>
      <w:r>
        <w:rPr>
          <w:rFonts w:hint="eastAsia" w:ascii="Arial" w:hAnsi="Arial" w:eastAsia="宋体" w:cs="Arial"/>
          <w:b/>
          <w:i w:val="0"/>
          <w:caps w:val="0"/>
          <w:color w:val="333333"/>
          <w:spacing w:val="0"/>
          <w:kern w:val="0"/>
          <w:sz w:val="28"/>
          <w:szCs w:val="28"/>
          <w:lang w:val="en-US" w:eastAsia="zh-CN" w:bidi="ar"/>
        </w:rPr>
        <w:t>（2019修订）</w:t>
      </w:r>
    </w:p>
    <w:p>
      <w:pPr>
        <w:keepNext w:val="0"/>
        <w:keepLines w:val="0"/>
        <w:pageBreakBefore w:val="0"/>
        <w:widowControl/>
        <w:suppressLineNumbers w:val="0"/>
        <w:kinsoku/>
        <w:wordWrap/>
        <w:overflowPunct/>
        <w:topLinePunct w:val="0"/>
        <w:autoSpaceDE/>
        <w:autoSpaceDN/>
        <w:bidi w:val="0"/>
        <w:adjustRightInd/>
        <w:snapToGrid/>
        <w:spacing w:before="450" w:beforeAutospacing="0" w:after="157" w:afterLines="50" w:line="460" w:lineRule="exact"/>
        <w:ind w:left="0" w:firstLine="0"/>
        <w:jc w:val="left"/>
        <w:textAlignment w:val="auto"/>
        <w:rPr>
          <w:rFonts w:hint="default" w:ascii="Arial" w:hAnsi="Arial" w:eastAsia="宋体" w:cs="Arial"/>
          <w:b/>
          <w:bCs/>
          <w:i w:val="0"/>
          <w:caps w:val="0"/>
          <w:color w:val="000000"/>
          <w:spacing w:val="0"/>
          <w:kern w:val="0"/>
          <w:sz w:val="24"/>
          <w:szCs w:val="24"/>
          <w:lang w:val="en-US" w:eastAsia="zh-CN" w:bidi="ar"/>
        </w:rPr>
      </w:pPr>
      <w:r>
        <w:rPr>
          <w:rFonts w:hint="default" w:ascii="Arial" w:hAnsi="Arial" w:eastAsia="宋体" w:cs="Arial"/>
          <w:b/>
          <w:bCs/>
          <w:i w:val="0"/>
          <w:caps w:val="0"/>
          <w:color w:val="000000"/>
          <w:spacing w:val="0"/>
          <w:kern w:val="0"/>
          <w:sz w:val="24"/>
          <w:szCs w:val="24"/>
          <w:lang w:val="en-US" w:eastAsia="zh-CN" w:bidi="ar"/>
        </w:rPr>
        <w:t>法律修订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sz w:val="24"/>
          <w:szCs w:val="24"/>
        </w:rPr>
      </w:pPr>
      <w:r>
        <w:rPr>
          <w:rFonts w:hint="default" w:ascii="Arial" w:hAnsi="Arial" w:cs="Arial"/>
          <w:i w:val="0"/>
          <w:caps w:val="0"/>
          <w:color w:val="000000"/>
          <w:spacing w:val="0"/>
          <w:sz w:val="24"/>
          <w:szCs w:val="24"/>
        </w:rPr>
        <w:t>2011年12月20日中华人民共和国国务院令第613号公布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sz w:val="24"/>
          <w:szCs w:val="24"/>
        </w:rPr>
      </w:pPr>
      <w:r>
        <w:rPr>
          <w:rFonts w:hint="default" w:ascii="Arial" w:hAnsi="Arial" w:cs="Arial"/>
          <w:i w:val="0"/>
          <w:caps w:val="0"/>
          <w:color w:val="000000"/>
          <w:spacing w:val="0"/>
          <w:sz w:val="24"/>
          <w:szCs w:val="24"/>
        </w:rPr>
        <w:t>根据2017年3月1日《国务院关于修改和废止部分行政法规的决定》修订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为了规范招标投标活动，根据《中华人民共和国招标投标法》（以下简称招标投标法），制定本条例。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招标投标法第三条所称工程建设项目，是指工程以及与工程建设有关的货物、服务。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依法必须进行招标的工程建设项目的具体范围和规模标准，由国务院发展改革部门会同国务院有关部门制订，报国务院批准后公布施行。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 财政部门依法对实行招标投标的政府采购工程建设项目的预算执行情况和政府采购政策执行情况实施监督。 监察机关依法对与招标投标活动有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关的监察对象实施监察。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设区的市级以上地方人民政府可以根据实际需要，建立统一规范的招标投标交易场所，为招标投标活动提供服务。招标投标交易场所不得与行政监督部门存在隶属关系，不得以营利为目的。 国家鼓励利用信息网络进行电子招标投标。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禁止国家工作人员以任何方式非法干涉招标投标活动。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第二章　招 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国有资金占控股或者主导地位的依法必须进行招标的项目，应当公开招标；但有下列情形之一的，可以邀请招标： （一）技术复杂、有特殊要求或者受自然环境限制，只有少量潜在投标人可供选择； （二）采用公开招标方式的费用占项目合同金额的比例过大。 有前款第二项所列情形，属于本条例第七条规定的项目，由项目审批、核准部门在审批、核准项目时作出认定；其他项目由招标人申请有关行政监督部门作出认定。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除招标投标法第六十六条规定的可以不进行招标的特殊情况外，有下列情形之一的，可以不进行招标： （一）需要采用不可替代的专利或者专有技术； （二）采购人依法能够自行建设、生产或者提供； （三）已通过招标方式选定的特许经营项目投资人依法能够自行建设、生产或者提供； （四）需要向原中标人采购工程、货物或者服务，否则将影响施工或者功能配套要求； （五）国家规定的其他特殊情形。 招标人为适用前款规定弄虚作假的，属于招标投标法第四条规定的规避招标。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招标投标法第十二条第二款规定的招标人具有编制招标文件和组织评标能力，是指招标人具有与招标项目规模和复杂程度相适应的技术、经济等方面的专业人员。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国务院住房城乡建设、商务、发展改革、工业和信息化等部门，按照规定的职责分工对招标代理机构依法实施监督管理。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招标代理机构应当拥有一定数量的具备编制招标文件、组织评标等相应能力的专业人员。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招标代理机构在招标人委托的范围内开展招标代理业务，任何单位和个人不得非法干涉。 招标代理机构代理招标业务，应当遵守招标投标法和本条例关于招标人的规定。招标代理机构不得在所代理的招标项目中投标或者代理投标，也不得为所代理的招标项目的投标人提供咨询。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招标人应当与被委托的招标代理机构签订书面委托合同，合同约定的收费标准应当符合国家有关规定。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公开招标的项目，应当依照招标投标法和本条例的规定发布招标公告、编制招标文件。 招标人采用资格预审办法对潜在投标人进行资格审查的，应当发布资格预审公告、编制资格预审文件。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 编制依法必须进行招标的项目的资格预审文件和招标文件，应当使用国务院发展改革部门会同有关行政监督部门制定的标准文本。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招标人应当按照资格预审公告、招标公告或者投标邀请书规定的时间、地点发售资格预审文件或者招标文件。资格预审文件或者招标文件的发售期不得少于5日。 招标人发售资格预审文件、招标文件收取的费用应当限于补偿印刷、邮寄的成本支出，不得以营利为目的。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招标人应当合理确定提交资格预审申请文件的时间。依法必须进行招标的项目提交资格预审申请文件的时间，自资格预审文件停止发售之日起不得少于5日。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资格预审应当按照资格预审文件载明的标准和方法进行。 国有资金占控股或者主导地位的依法必须进行招标的项目，招标人应当组建资格审查委员会审查资格预审申请文件。资格审查委员会及其成员应当遵守招标投标法和本条例有关评标委员会及其成员的规定。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资格预审结束后，招标人应当及时向资格预审申请人发出资格预审结果通知书。未通过资格预审的申请人不具有投标资格。 通过资格预审的申请人少于3个的，应当重新招标。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招标人采用资格后审办法对投标人进行资格审查的，应当在开标后由评标委员会按照招标文件规定的标准和方法对投标人的资格进行审查。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招标人编制的资格预审文件、招标文件的内容违反法律、行政法规的强制性规定，违反公开、公平、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公正和诚实信用原则，影响资格预审结果或者潜在投标人投标的，依法必须进行招标的项目的招标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人应当在修改资格预审文件或者招标文件后重新招标。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招标人对招标项目划分标段的，应当遵守招标投标法的有关规定，不得利用划分标段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限制或者排斥潜在投标人。依法必须进行招标的项目的招标人不得利用划分标段规避招标。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招标人应当在招标文件中载明投标有效期。投标有效期从提交投标文件的截止之日起算。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招标人在招标文件中要求投标人提交投标保证金的，投标保证金不得超过招标项目估算价的2%。投标保证金有效期应当与投标有效期一致。 依法必须进行招标的项目的境内投标单位，以现金或者支票形式提交的投标保证金应当从其基本账户转出。 招标人不得挪用投标保证金。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招标人可以自行决定是否编制标底。一个招标项目只能有一个标底。标底必须保密。 接受委托编制标底的中介机构不得参加受托编制标底项目的投标，也不得为该项目的投标人编制投标文件或者提供咨询。 招标人设有最高投标限价的，应当在招标文件中明确最高投标限价或者最高投标限价的计算方法。招标人不得规定最低投标限价。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招标人不得组织单个或者部分潜在投标人踏勘项目现场。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 前款所称暂估价，是指总承包招标时不能确定价格而由招标人在招标文件中暂时估定的工程、货物、服务的金额。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对技术复杂或者无法精确拟定技术规格的项目，招标人可以分两阶段进行招标。 第一阶段，投标人按照招标公告或者投标邀请书的要求提交不带报价的技术建议，招标人根据投标人提交的技术建议确定技术标准和要求，编制招标文件。 第二阶段，招标人向在第一阶段提交技术建议的投标人提供招标文件，投标人按照招标文件的要求提交包括最终技术方案和投标报价的投标文件。 招标人要求投标人提交投标保证金的，应当在第二阶段提出。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招标人不得以不合理的条件限制、排斥潜在投标人或者投标人。 招标人有下列行为之一的，属于以不合理条件限制、排斥潜在投标人或者投标人： （一）就同一招标项目向潜在投标人或者投标人提供有差别的项目信息； （二）设定的资格、技术、商务条件与招标项目的具体特点和实际需要不相适应或者与合同履行无关； （三）依法必须进行招标的项目以特定行政区域或者特定行业的业绩、奖项作为加分条件或者中标条件； （四）对潜在投标人或者投标人采取不同的资格审查或者评标标准； （五）限定或者指定特定的专利、商标、品牌、原产地或者供应商； （六）依法必须进行招标的项目非法限定潜在投标人或者投标人的所有制形式或者组织形式； （七）以其他不合理条件限制、排斥潜在投标人或者投标人。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第三章　投 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投标人参加依法必须进行招标的项目的投标，不受地区或者部门的限制，任何单位和个人不得非法干涉。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与招标人存在利害关系可能影响招标公正性的法人、其他组织或者个人，不得参加投标。 单位负责人为同一人或者存在控股、管理关系的不同单位，不得参加同一标段投标或者未划分标段的同一招标项目投标。 违反前两款规定的，相关投标均无效。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投标人撤回已提交的投标文件，应当在投标截止时间前书面通知招标人。招标人已收取投标保证金的，应当自收到投标人书面撤回通知之日起5日内退还。 投标截止后投标人撤销投标文件的，招标人可以不退还投标保证金。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未通过资格预审的申请人提交的投标文件，以及逾期送达或者不按照招标文件要求密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封的投标文件，招标人应当拒收。 招标人应当如实记载投标文件的送达时间和密封情况，并存档备查。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招标人应当在资格预审公告、招标公告或者投标邀请书中载明是否接受联合体投标。 招标人接受联合体投标并进行资格预审的，联合体应当在提交资格预审申请文件前组成。资格预审后联合体增减、更换成员的，其投标无效。 联合体各方在同一招标项目中以自己名义单独投标或者参加其他联合体投标的，相关投标均无效。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投标人发生合并、分立、破产等重大变化的，应当及时书面告知招标人。投标人不再具备资格预审文件、招标文件规定的资格条件或者其投标影响招标公正性的，其投标无效。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禁止投标人相互串通投标。 有下列情形之一的，属于投标人相互串通投标： （一）投标人之间协商投标报价等投标文件的实质性内容； （二）投标人之间约定中标人； （三）投标人之间约定部分投标人放弃投标或者中标； （四）属于同一集团、协会、商会等组织成员的投标人按照该组织要求协同投标； （五）投标人之间为谋取中标或者排斥特定投标人而采取的其他联合行动。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有下列情形之一的，视为投标人相互串通投标： （一）不同投标人的投标文件由同一单位或者个人编制； （二）不同投标人委托同一单位或者个人办理投标事宜； （三）不同投标人的投标文件载明的项目管理成员为同一人； （四）不同投标人的投标文件异常一致或者投标报价呈规律性差异； （五）不同投标人的投标文件相互混装； （六）不同投标人的投标保证金从同一单位或者个人的账户转出。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禁止招标人与投标人串通投标。 有下列情形之一的，属于招标人与投标人串通投标： （一）招标人在开标前开启投标文件并将有关信息泄露给其他投标人； （二）招标人直接或者间接向投标人泄露标底、评标委员会成员等信息； （三）招标人明示或者暗示投标人压低或者抬高投标报价； （四）招标人授意投标人撤换、修改投标文件； （五）招标人明示或者暗示投标人为特定投标人中标提供方便； （六）招标人与投标人为谋求特定投标人中标而采取的其他串通行为。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使用通过受让或者租借等方式获取的资格、资质证书投标的，属于招标投标法第三十三条规定的以他人名义投标。 投标人有下列情形之一的，属于招标投标法第三十三条规定的以其他方式弄虚作假的行为： （一）使用伪造、变造的许可证件； （二）提供虚假的财务状况或者业绩； （三）提供虚假的项目负责人或者主要技术人员简历、劳动关系证明； （四）提供虚假的信用状况； （五）其他弄虚作假的行为。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提交资格预审申请文件的申请人应当遵守招标投标法和本条例有关投标人的规定。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第四章　开标、评标和中标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招标人应当按照招标文件规定的时间、地点开标。 投标人少于3个的，不得开标；招标人应当重新招标。 投标人对开标有异议的，应当在开标现场提出，招标人应当当场作出答复，并制作记录。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国家实行统一的评标专家专业分类标准和管理办法。具体标准和办法由国务院发展改革部门会同国务院有关部门制定。 省级人民政府和国务院有关部门应当组建综合评标专家库。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 依法必须进行招标的项目的招标人非因招标投标法和本条例规定的事由，不得更换依法确定的评标委员会成员。更换评标委员会的专家成员应当依照前款规定进行。 评标委员会成员与投标人有利害关系的，应当主动回避。 有关行政监督部门应当按照规定的职责分工，对评标委员会成员的确定方式、评标专家的抽取和评标活动进行监督。行政监督部门的工作人员不得担任本部门负责监督项目的评标委员会成员。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招标投标法第三十七条第三款所称特殊招标项目，是指技术复杂、专业性强或者国家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有特殊要求，采取随机抽取方式确定的专家难以保证胜任评标工作的项目。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招标人应当向评标委员会提供评标所必需的信息，但不得明示或者暗示其倾向或者排斥特定投标人。 招标人应当根据项目规模和技术复杂程度等因素合理确定评标时间。超过三分之一的评标委员会成员认为评标时间不够的，招标人应当适当延长。 评标过程中，评标委员会成员有回避事由、擅离职守或者因健康等原因不能继续评标的，应当及时更换。被更换的评标委员会成员作出的评审结论无效，由更换后的评标委员会成员重新进行评审。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第四十九条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评标委员会成员应当依照招标投标法和本条例的规定，按照招标文件规定的评标标准和方法，客观、公正地对投标文件提出评审意见。招标文件没有规定的评标标准和方法不得作为评标的依据。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招标项目设有标底的，招标人应当在开标时公布。标底只能作为评标的参考，不得以投标报价是否接近标底作为中标条件，也不得以投标报价超过标底上下浮动范围作为否决投标的条件。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有下列情形之一的，评标委员会应当否决其投标： （一）投标文件未经投标单位盖章和单位负责人签字； （二）投标联合体没有提交共同投标协议； （三）投标人不符合国家或者招标文件规定的资格条件； （四）同一投标人提交两个以上不同的投标文件或者投标报价，但招标文件要求提交备选投标的除外； （五）投标报价低于成本或者高于招标文件设定的最高投标限价； （六）投标文件没有对招标文件的实质性要求和条件作出响应； （七）投标人有串通投标、弄虚作假、行贿等违法行为。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 评标委员会不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b/>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得暗示或者诱导投标人作出澄清、说明，不得接受投标人主动提出的澄清、说明。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评标完成后，评标委员会应当向招标人提交书面评标报告和中标候选人名单。中标候选人应当不超过3个，并标明排序。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依法必须进行招标的项目，招标人应当自收到评标报告之日起3日内公示中标候选人，公示期不得少于3日。 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中标候选人的经营、财务状况发生较大变化或者存在违法行为，招标人认为可能影响其履约能力的，应当在发出中标通知书前由原评标委员会按照招标文件规定的标准和方法审查确认。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 招标人最迟应当在书面合同签订后5日内向中标人和未中标的投标人退还投标保证金及银行同期存款利息。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招标文件要求中标人提交履约保证金的，中标人应当按照招标文件的要求提交。履约保证金不得超过中标合同金额的10%。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第五十九条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中标人应当按照合同约定履行义务，完成中标项目。中标人不得向他人转让中标项目，也不得将中标项目肢解后分别向他人转让。 中标人按照合同约定或者经招标人同意，可以将中标项目的部分非主体、非关键性工作分包给他人完成。接受分包的人应当具备相应的资格条件，并不得再次分包。 中标人应当就分包项目向招标人负责，接受分包的人就分包项目承担连带责任。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第五章　投诉与处理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投标人或者其他利害关系人认为招标投标活动不符合法律、行政法规规定的，可以自知道或者应当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知道之日起10日内向有关行政监督部门投诉。投诉应当有明确的请求和必要的证明材料。 就本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条例第二十二条、第四十四条、第五十四条规定事项投诉的，应当先向招标人提出异议，异议答复期间不计算在前款规定的期限内。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投诉人就同一事项向两个以上有权受理的行政监督部门投诉的，由最先收到投诉的行政监督部门负责处理。 行政监督部门应当自收到投诉之日起3个工作日内决定是否受理投诉，并自受理投诉之日起30个工作日内作出书面处理决定；需要检验、检测、鉴定、专家评审的，所需时间不计算在内。 投诉人捏造事实、伪造材料或者以非法手段取得证明材料进行投诉的，行政监督部门应当予以驳回。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行政监督部门处理投诉，有权查阅、复制有关文件、资料，调查有关情况，相关单位和人员应当予以配合。必要时，行政监督部门可以责令暂停招标投标活动。 行政监督部门的工作人员对监督检查过程中知悉的国家秘密、商业秘密，应当依法予以保密。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第六章　法律责</w:t>
      </w:r>
      <w:bookmarkStart w:id="0" w:name="_GoBack"/>
      <w:bookmarkEnd w:id="0"/>
      <w:r>
        <w:rPr>
          <w:rFonts w:hint="default" w:ascii="Arial" w:hAnsi="Arial" w:eastAsia="宋体" w:cs="Arial"/>
          <w:b/>
          <w:i w:val="0"/>
          <w:caps w:val="0"/>
          <w:color w:val="000000"/>
          <w:spacing w:val="0"/>
          <w:kern w:val="0"/>
          <w:sz w:val="24"/>
          <w:szCs w:val="24"/>
          <w:lang w:val="en-US" w:eastAsia="zh-CN" w:bidi="ar"/>
        </w:rPr>
        <w:t>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 依法必须进行招标的项目的招标人不按照规定发布资格预审公告或者招标公告，构成规避招标的，依照招标投标法第四十九条的规定处罚。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招标人有下列情形之一的，由有关行政监督部门责令改正，可以处10万元以下的罚款： （一）依法应当公开招标而采用邀请招标； （二）招标文件、资格预审文件的发售、澄清、修改的时限，或者确定的提交资格预审申请文件、投标文件的时限不符合招标投标法和本条例规定； （三）接受未通过资格预审的单位或者个人参加投标； （四）接受应当拒收的投标文件。 招标人有前款第一项、第三项、第四项所列行为之一的，对单位直接负责的主管人员和其他直接责任人员依法给予处分。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招标人超过本条例规定的比例收取投标保证金、履约保证金或者不按照规定退还投标保证金及银行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eastAsia="宋体" w:cs="Arial"/>
          <w:i w:val="0"/>
          <w:caps w:val="0"/>
          <w:color w:val="333333"/>
          <w:spacing w:val="0"/>
          <w:kern w:val="0"/>
          <w:sz w:val="24"/>
          <w:szCs w:val="24"/>
          <w:lang w:val="en-US" w:eastAsia="zh-CN" w:bidi="ar"/>
        </w:rPr>
      </w:pPr>
      <w:r>
        <w:rPr>
          <w:rFonts w:hint="default" w:ascii="Arial" w:hAnsi="Arial" w:eastAsia="宋体" w:cs="Arial"/>
          <w:i w:val="0"/>
          <w:caps w:val="0"/>
          <w:color w:val="333333"/>
          <w:spacing w:val="0"/>
          <w:kern w:val="0"/>
          <w:sz w:val="24"/>
          <w:szCs w:val="24"/>
          <w:lang w:val="en-US" w:eastAsia="zh-CN" w:bidi="ar"/>
        </w:rPr>
        <w:t>同期存款利息的，由有关行政监督部门责令改正，可以处5万元以下的罚款；给他人造成损失的，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 投标人有下列行为之一的，属于招标投标法第五十三条规定的情节严重行为，由有关行政监督部门取消其1年至2年内参加依法必须进行招标的项目的投标资格： （一）以行贿谋取中标； （二）3年内2次以上串通投标； （三）串通投标行为损害招标人、其他投标人或者国家、集体、公民的合法利益，造成直接经济损失30万元以上； （四）其他串通投标情节严重的行为。 投标人自本条第二款规定的处罚执行期限届满之日起3年内又有该款所列违法行为之一的，或者串通投标、以行贿谋取中标情节特别严重的，由工商行政管理机关吊销营业执照。 法律、行政法规对串通投标报价行为的处罚另有规定的，从其规定。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投标人有下列行为之一的，属于招标投标法第五十四条规定的情节严重行为，由有关行政监督部门取消其1年至3年内参加依法必须进行招标的项目的投标资格： （一）伪造、变造资格、资质证书或者其他许可证件骗取中标； （二）3年内2次以上使用他人名义投标； （三）弄虚作假骗取中标给招标人造成直接经济损失30万元以上； （四）其他弄虚作假骗取中标情节严重的行为。 投标人自本条第二款规定的处罚执行期限届满之日起3年内又有该款所列违法行为之一的，或者弄虚作假骗取中标情节特别严重的，由工商行政管理机关吊销营业执照。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第六十九条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出让或者出租资格、资质证书供他人投标的，依照法律、行政法规的规定给予行政处罚；构成犯罪的，依法追究刑事责任。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 国家工作人员以任何方式非法干涉选取评标委员会成员的，依照本条例第八十条的规定追究法律责任。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评标委员会成员有下列行为之一的，由有关行政监督部门责令改正；情节严重的，禁止其在一定期限内参加依法必须进行招标的项目的评标；情节特别严重的，取消其担任评标委员会成员的资格： （一）应当回避而不回避； （二）擅离职守； （三）不按照招标文件规定的评标标准和方法评标； （四）私下接触投标人； （五）向招标人征询确定中标人的意向或者接受任何单位或者个人明示或者暗示提出的倾向或者排斥特定投标人的要求； （六）对依法应当否决的投标不提出否决意见； （七）暗示或者诱导投标人作出澄清、说明或者接受投标人主动提出的澄清、说明； （八）其他不客观、不公正履行职务的行为。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（一）无正当理由不发出中标通知书； （二）不按照规定确定中标人； （三）中标通知书发出后无正当理由改变中标结果； （四）无正当理由不与中标人订立合同； （五）在订立合同时向中标人提出附加条件。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投标人或者其他利害关系人捏造事实、伪造材料或者以非法手段取得证明材料进行投诉，给他人造成损失的，依法承担赔偿责任。 招标人不按照规定对异议作出答复，继续进行招标投标活动的，由有关行政监督部门责令改正，拒不改正或者不能改正并影响中标结果的，依照本条例第八十一条的规定处理。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国家建立招标投标信用制度。有关行政监督部门应当依法公告对招标人、招标代理机构、投标人、评标委员会成员等当事人违法行为的行政处理决定。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第七十九条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项目审批、核准部门不依法审批、核准项目招标范围、招标方式、招标组织形式的，对单位直接负责的主管人员和其他直接责任人员依法给予处分。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 项目审批、核准部门和有关行政监督部门的工作人员徇私舞弊、滥用职权、玩忽职守，构成犯罪的，依法追究刑事责任。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 （一）要求对依法必须进行招标的项目不招标，或者要求对依法应当公开招标的项目不公开招标； （二）要求评标委员会成员或者招标人以其指定的投标人作为中标候选人或者中标人，或者以其他方式非法干涉评标活动，影响中标结果； （三）以其他方式非法干涉招标投标活动。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依法必须进行招标的项目的招标投标活动违反招标投标法和本条例的规定，对中标结果造成实质性影响，且不能采取补救措施予以纠正的，招标、投标、中标无效，应当依法重新招标或者评标。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line="460" w:lineRule="exact"/>
        <w:ind w:left="0" w:firstLine="0"/>
        <w:jc w:val="center"/>
        <w:textAlignment w:val="auto"/>
        <w:rPr>
          <w:rFonts w:hint="default" w:ascii="Arial" w:hAnsi="Arial" w:eastAsia="宋体" w:cs="Arial"/>
          <w:b/>
          <w:i w:val="0"/>
          <w:caps w:val="0"/>
          <w:color w:val="000000"/>
          <w:spacing w:val="0"/>
          <w:kern w:val="0"/>
          <w:sz w:val="24"/>
          <w:szCs w:val="24"/>
          <w:lang w:val="en-US" w:eastAsia="zh-CN" w:bidi="ar"/>
        </w:rPr>
      </w:pPr>
      <w:r>
        <w:rPr>
          <w:rFonts w:hint="default" w:ascii="Arial" w:hAnsi="Arial" w:eastAsia="宋体" w:cs="Arial"/>
          <w:b/>
          <w:i w:val="0"/>
          <w:caps w:val="0"/>
          <w:color w:val="000000"/>
          <w:spacing w:val="0"/>
          <w:kern w:val="0"/>
          <w:sz w:val="24"/>
          <w:szCs w:val="24"/>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招标投标协会按照依法制定的章程开展活动，加强行业自律和服务。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政府采购的法律、行政法规对政府采购货物、服务的招标投标另有规定的，从其规定。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lang w:val="en-US" w:eastAsia="zh-CN" w:bidi="ar"/>
        </w:rPr>
        <w:t>第八十四条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60" w:lineRule="exact"/>
        <w:ind w:left="0" w:firstLine="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lang w:val="en-US" w:eastAsia="zh-CN" w:bidi="ar"/>
        </w:rPr>
        <w:t>本条例自2012年2月1日起施行。</w:t>
      </w:r>
    </w:p>
    <w:p/>
    <w:sectPr>
      <w:pgSz w:w="11906" w:h="16838"/>
      <w:pgMar w:top="1440" w:right="1485" w:bottom="1440" w:left="14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F1C15"/>
    <w:rsid w:val="393258A9"/>
    <w:rsid w:val="43E54FA1"/>
    <w:rsid w:val="7CDF1C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2020-09-16T08:09:00Z</dcterms:created>
  <dc:creator>philip sun</dc:creator>
  <cp:lastModifiedBy>philip sun</cp:lastModifiedBy>
  <dcterms:modified xsi:type="dcterms:W3CDTF">2020-09-22T07:33:38Z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